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55" w:rsidRDefault="002A2E55" w:rsidP="002A2E55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2A2E55" w:rsidRDefault="002A2E55" w:rsidP="002A2E55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2A2E55" w:rsidRPr="00CD3CAB" w:rsidRDefault="002A2E55" w:rsidP="002A2E55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CD3CA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МУНИЦИПАЛЬНОЕ АВТОНОМНОЕ ДОШКОЛЬНОЕ ОБРАЗОВАТЕЛЬНОЕ УЧРЕЖДЕНИЕ                              </w:t>
      </w:r>
    </w:p>
    <w:p w:rsidR="002A2E55" w:rsidRPr="00CD3CAB" w:rsidRDefault="002A2E55" w:rsidP="002A2E55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CD3CA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«ДЕТСКИЙ САД КОМБИНИРОВАННОГО ВИДА № 3 «ЖУРАВУШКА</w:t>
      </w:r>
      <w:r w:rsidRPr="00CD3CAB">
        <w:rPr>
          <w:rFonts w:ascii="Times New Roman" w:eastAsia="Calibri" w:hAnsi="Times New Roman" w:cs="Times New Roman"/>
          <w:color w:val="000000"/>
          <w:sz w:val="16"/>
          <w:szCs w:val="16"/>
        </w:rPr>
        <w:t>»</w:t>
      </w:r>
    </w:p>
    <w:p w:rsid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Arial" w:hAnsi="Arial" w:cs="Arial"/>
          <w:b/>
          <w:bCs/>
          <w:color w:val="262626"/>
          <w:sz w:val="72"/>
          <w:szCs w:val="72"/>
        </w:rPr>
      </w:pPr>
    </w:p>
    <w:p w:rsidR="002A2E55" w:rsidRP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Bookman Old Style" w:hAnsi="Bookman Old Style" w:cs="Arial"/>
          <w:b/>
          <w:bCs/>
          <w:color w:val="0070C0"/>
          <w:sz w:val="72"/>
          <w:szCs w:val="72"/>
        </w:rPr>
      </w:pPr>
      <w:r>
        <w:rPr>
          <w:rFonts w:ascii="Arial" w:hAnsi="Arial" w:cs="Arial"/>
          <w:b/>
          <w:bCs/>
          <w:color w:val="262626"/>
          <w:sz w:val="72"/>
          <w:szCs w:val="72"/>
        </w:rPr>
        <w:t xml:space="preserve">               </w:t>
      </w:r>
      <w:r w:rsidRPr="002A2E55">
        <w:rPr>
          <w:rFonts w:ascii="Bookman Old Style" w:hAnsi="Bookman Old Style" w:cs="Arial"/>
          <w:b/>
          <w:bCs/>
          <w:color w:val="0070C0"/>
          <w:sz w:val="72"/>
          <w:szCs w:val="72"/>
        </w:rPr>
        <w:t>СТЕНДОВЫЙ ДОКЛАД</w:t>
      </w:r>
    </w:p>
    <w:p w:rsidR="002A2E55" w:rsidRP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Monotype Corsiva" w:hAnsi="Monotype Corsiva" w:cs="Arial"/>
          <w:b/>
          <w:bCs/>
          <w:color w:val="FF0000"/>
          <w:sz w:val="52"/>
          <w:szCs w:val="52"/>
        </w:rPr>
      </w:pP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Использование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инновационной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технологии</w:t>
      </w:r>
    </w:p>
    <w:p w:rsidR="002A2E55" w:rsidRP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Monotype Corsiva" w:hAnsi="Monotype Corsiva" w:cs="Arial"/>
          <w:b/>
          <w:bCs/>
          <w:color w:val="FF0000"/>
          <w:sz w:val="52"/>
          <w:szCs w:val="52"/>
        </w:rPr>
      </w:pP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>«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Утренний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сбор</w:t>
      </w:r>
      <w:r w:rsidRPr="002A2E55">
        <w:rPr>
          <w:rFonts w:ascii="Monotype Corsiva" w:hAnsi="Monotype Corsiva" w:cs="Algerian"/>
          <w:b/>
          <w:bCs/>
          <w:color w:val="FF0000"/>
          <w:sz w:val="52"/>
          <w:szCs w:val="52"/>
        </w:rPr>
        <w:t>»</w:t>
      </w:r>
    </w:p>
    <w:p w:rsidR="002A2E55" w:rsidRP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Monotype Corsiva" w:hAnsi="Monotype Corsiva" w:cs="Arial"/>
          <w:b/>
          <w:bCs/>
          <w:color w:val="FF0000"/>
          <w:sz w:val="52"/>
          <w:szCs w:val="52"/>
        </w:rPr>
      </w:pP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в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работе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с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детьми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с</w:t>
      </w:r>
      <w:r w:rsidRPr="002A2E55">
        <w:rPr>
          <w:rFonts w:ascii="Monotype Corsiva" w:hAnsi="Monotype Corsiva" w:cs="Arial"/>
          <w:b/>
          <w:bCs/>
          <w:color w:val="FF0000"/>
          <w:sz w:val="52"/>
          <w:szCs w:val="52"/>
        </w:rPr>
        <w:t xml:space="preserve"> </w:t>
      </w:r>
      <w:r w:rsidRPr="002A2E55">
        <w:rPr>
          <w:rFonts w:ascii="Monotype Corsiva" w:hAnsi="Monotype Corsiva"/>
          <w:b/>
          <w:bCs/>
          <w:color w:val="FF0000"/>
          <w:sz w:val="52"/>
          <w:szCs w:val="52"/>
        </w:rPr>
        <w:t>ОВЗ</w:t>
      </w:r>
    </w:p>
    <w:p w:rsidR="002A2E55" w:rsidRPr="002A2E55" w:rsidRDefault="002A2E55" w:rsidP="002A2E55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A2E55">
        <w:rPr>
          <w:rFonts w:ascii="Times New Roman" w:eastAsia="Calibri" w:hAnsi="Times New Roman" w:cs="Times New Roman"/>
          <w:sz w:val="28"/>
          <w:szCs w:val="28"/>
        </w:rPr>
        <w:t>Составитель воспитатель:</w:t>
      </w:r>
      <w:r w:rsidRPr="002A2E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A2E55" w:rsidRPr="002A2E55" w:rsidRDefault="002A2E55" w:rsidP="002A2E55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A2E55">
        <w:rPr>
          <w:rFonts w:ascii="Times New Roman" w:eastAsia="Times New Roman" w:hAnsi="Times New Roman" w:cs="Times New Roman"/>
          <w:sz w:val="28"/>
          <w:lang w:eastAsia="ru-RU"/>
        </w:rPr>
        <w:t>высшей квалификационной категории</w:t>
      </w:r>
    </w:p>
    <w:p w:rsidR="002A2E55" w:rsidRP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rFonts w:ascii="Arial" w:hAnsi="Arial" w:cs="Arial"/>
          <w:color w:val="262626"/>
          <w:sz w:val="52"/>
          <w:szCs w:val="52"/>
        </w:rPr>
      </w:pPr>
      <w:r w:rsidRPr="002A2E55">
        <w:rPr>
          <w:rFonts w:eastAsia="Calibri"/>
          <w:sz w:val="28"/>
          <w:szCs w:val="28"/>
          <w:lang w:eastAsia="en-US"/>
        </w:rPr>
        <w:t xml:space="preserve"> Бобровская Оксана Викторовна</w:t>
      </w:r>
    </w:p>
    <w:p w:rsid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Arial" w:hAnsi="Arial" w:cs="Arial"/>
          <w:color w:val="262626"/>
          <w:sz w:val="21"/>
          <w:szCs w:val="21"/>
        </w:rPr>
      </w:pPr>
    </w:p>
    <w:p w:rsid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2A2E55" w:rsidRDefault="002A2E55" w:rsidP="002A2E55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Arial" w:hAnsi="Arial" w:cs="Arial"/>
          <w:color w:val="262626"/>
          <w:sz w:val="21"/>
          <w:szCs w:val="21"/>
        </w:rPr>
      </w:pPr>
    </w:p>
    <w:p w:rsidR="005A4C25" w:rsidRDefault="005A4C25" w:rsidP="002A2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A4C25" w:rsidRDefault="005A4C25" w:rsidP="002A2E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5A4C25" w:rsidRDefault="005A4C25" w:rsidP="002A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2E55" w:rsidRPr="005A4C25" w:rsidRDefault="00A020D1" w:rsidP="002A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E55"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Групповой сбор или утренний круг </w:t>
      </w:r>
      <w:r w:rsid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2E55"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время, когда дети и взрослые собираются вместе. Обычно он проходит утром, после завтрака.</w:t>
      </w:r>
    </w:p>
    <w:p w:rsidR="002A2E55" w:rsidRPr="005A4C25" w:rsidRDefault="002A2E55" w:rsidP="002A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Групповой сбор – это одна из форм организации образовательного процесса совместной деятельности с детьми, где ребенок может проявить свою активность. Утренний сбор для дошкольников – это, прежде всего возможность несколько минут побыть вместе, что немаловажно для застенчивых детей, рассказать, о чем думаешь, что чувствуешь. Педагогам утренний сбор дает возможность создать атмосферу коллективного творчества, что помогает развитию у воспитанников чувства взаимного уважения и доброты. Следовательно, одно из основных требований, предъявляемых к профессиональному мастерству педагога – это умение руководить межличностным общением детей, разрешать конфликтные ситуации, организовывать созидательную совместную деятельность.</w:t>
      </w:r>
    </w:p>
    <w:p w:rsidR="002A2E55" w:rsidRPr="005A4C25" w:rsidRDefault="002A2E55" w:rsidP="002A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 </w:t>
      </w:r>
      <w:r w:rsidRPr="005A4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 </w:t>
      </w: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утреннего сбора: Создать эмоциональный настрой на весь день — “задать тон”.</w:t>
      </w:r>
    </w:p>
    <w:p w:rsidR="002A2E55" w:rsidRPr="005A4C25" w:rsidRDefault="002A2E55" w:rsidP="002A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Создать условия для межличностного и </w:t>
      </w:r>
      <w:r w:rsidR="005A4C25"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</w:t>
      </w: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-делового общения детей и взрослых.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навыки (ведения коммуникации, планирования собственной деятельности </w:t>
      </w:r>
      <w:proofErr w:type="spellStart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ит.п</w:t>
      </w:r>
      <w:proofErr w:type="spellEnd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умения “считывать информацию” об эмоциональном состоянии других людей.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объяснять словами свое эмоциональное состояние.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Развивать </w:t>
      </w:r>
      <w:proofErr w:type="spellStart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эмпатию</w:t>
      </w:r>
      <w:proofErr w:type="spellEnd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навыки культурного общения (приветствия, комплименты и т. п.).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формулировать суждения, аргументировать высказывания, отстаивать свою точку зрения.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выбирать из личного опыта наиболее значимые, интересные события, рассказывать о них кратко, но последовательно и логично.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Учить </w:t>
      </w:r>
      <w:proofErr w:type="gramStart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внимательно</w:t>
      </w:r>
      <w:proofErr w:type="gramEnd"/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слушать, высказывать конструктивные отношения к высказываниям других.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делать выбор.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планировать собственную деятельность.</w:t>
      </w:r>
    </w:p>
    <w:p w:rsidR="002A2E55" w:rsidRPr="005A4C25" w:rsidRDefault="002A2E55" w:rsidP="005A4C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4C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умения договариваться о совместной деятельности, распределять роли и обязанности.</w:t>
      </w:r>
    </w:p>
    <w:p w:rsidR="005A4C25" w:rsidRPr="005A4C25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4C25" w:rsidRDefault="005A4C25" w:rsidP="005A4C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5A4C25" w:rsidRPr="005A4C25" w:rsidRDefault="005A4C25" w:rsidP="005A4C2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5A4C25" w:rsidRDefault="005A4C25"/>
    <w:p w:rsidR="000123FE" w:rsidRDefault="000123FE" w:rsidP="000123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C25" w:rsidRPr="000123FE" w:rsidRDefault="005A4C25" w:rsidP="000123F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123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группового (утреннего) сбора:</w:t>
      </w:r>
    </w:p>
    <w:p w:rsidR="005A4C25" w:rsidRPr="000123FE" w:rsidRDefault="005A4C25" w:rsidP="000123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Приветствие (инвариант: пожелания, комплименты, подарки). 1 - 3 минуты</w:t>
      </w:r>
    </w:p>
    <w:p w:rsidR="005A4C25" w:rsidRPr="000123FE" w:rsidRDefault="005A4C25" w:rsidP="000123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(инвариант: тренинг, пение, слушание). 2 - 5 минут</w:t>
      </w:r>
    </w:p>
    <w:p w:rsidR="005A4C25" w:rsidRPr="000123FE" w:rsidRDefault="005A4C25" w:rsidP="000123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Обмен новостями. 2 - 10 минут</w:t>
      </w:r>
    </w:p>
    <w:p w:rsidR="005A4C25" w:rsidRPr="000123FE" w:rsidRDefault="005A4C25" w:rsidP="000123F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Планирование дня (инвариант: выбор темы проекта, презентация центров, формулирование идей, выбор деятельности). 5 - 12 минут</w:t>
      </w:r>
    </w:p>
    <w:p w:rsidR="005A4C25" w:rsidRPr="000123FE" w:rsidRDefault="005A4C25" w:rsidP="000123F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общая длительность группового сбора колеблется от 10 до 30 минут</w:t>
      </w: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Организация круга. </w:t>
      </w: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5A4C25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A4C25"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Сбор проходит в виде круга, где дети вместе с взрослыми сидят на стульчиках, на подушках и так далее. Каждая группа сама вправе определить традицию организации круга и порядок расположения детей в кругу может меняться.</w:t>
      </w: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 – это открытость, внимание детей друг к другу и чувство единства в коллективе.</w:t>
      </w: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мы организуем детей в круг, мы способствуем активизации общения – все видят глаза друг друга, чувствуют настроение, ощущают степень участия и заинтересованности каждого из присутствующих. Важно создавать такие ситуации для размышления, высказывания своего мнения по вопросу, чтобы дети могли сообща подумать над разрешением ситуации.</w:t>
      </w: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Новости.</w:t>
      </w: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Один из любимых частей утреннего сбора – обмен новостями, так как предоставляет возможность рассказать другим то, «что еще никто, кроме меня не знает», поделиться своими наблюдениями, похвастаться интересными событиями. Темы новостей могут носить различный характер. </w:t>
      </w:r>
      <w:r w:rsid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0123FE"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Важно, что дети учатся правилам ведения речевого диалога, умению выражать свои чувства; обогащается и активизируется словарный запас, развивается эмоциональная отзывчивость, доброжелательность, уверенность в том, что его любят и принимают таким, какой он есть.</w:t>
      </w:r>
    </w:p>
    <w:p w:rsid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4C25" w:rsidRP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5A4C25"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образом, утренний сбор – один из способов организации свободного общения и развития речи воспитанников. В ходе утреннего сбора дошкольники учатся правилам речевого диалога, умению выражать свои чувства, </w:t>
      </w: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обогащается и активизируется их </w:t>
      </w:r>
      <w:r w:rsidR="005A4C25"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словарный запас.</w:t>
      </w:r>
    </w:p>
    <w:p w:rsid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детей развивается эмоциональная отзывчивость, доброжелательность, толерантность, </w:t>
      </w:r>
      <w:proofErr w:type="gramStart"/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формируется</w:t>
      </w:r>
      <w:proofErr w:type="gramEnd"/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нравственные представления и понятия для анализа норм и правил поведения, появляется уверенность в том, что его любят и принимают таким, какой он есть</w:t>
      </w: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Благодаря творческому подходу к организации данного компонента режима пребывания в ДОУ у детей, формируется положительный настрой на весь день, что благоприятно сказывается на </w:t>
      </w:r>
      <w:proofErr w:type="spellStart"/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образовательном процессе в целом.</w:t>
      </w:r>
    </w:p>
    <w:p w:rsidR="000123FE" w:rsidRDefault="000123FE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5A4C25" w:rsidRPr="000123FE" w:rsidRDefault="005A4C25" w:rsidP="005A4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0123F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Утренний сбор, объединяет детей общими впечатлениями, переживаниями, способствуют формированию коллективных взаимоотношений, и способствует более тесному контакту всех специалистов и сотрудничеству с родителями, в результате образуется детско-взрослое сообщество.</w:t>
      </w:r>
    </w:p>
    <w:p w:rsidR="000123FE" w:rsidRPr="000123FE" w:rsidRDefault="000123FE" w:rsidP="000123FE">
      <w:pPr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0123FE" w:rsidRDefault="000123FE" w:rsidP="000123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23FE" w:rsidRDefault="000123FE" w:rsidP="000123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23FE" w:rsidRDefault="000123FE" w:rsidP="000123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23FE" w:rsidRDefault="000123FE" w:rsidP="000123F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4C25" w:rsidRPr="005A4C25" w:rsidRDefault="005A4C25" w:rsidP="005A4C25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5A4C25" w:rsidRPr="005A4C25" w:rsidSect="002A2E55">
      <w:pgSz w:w="16838" w:h="11906" w:orient="landscape"/>
      <w:pgMar w:top="426" w:right="1134" w:bottom="282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F80"/>
    <w:multiLevelType w:val="multilevel"/>
    <w:tmpl w:val="C3A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E0C29"/>
    <w:multiLevelType w:val="multilevel"/>
    <w:tmpl w:val="8AAC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467F2"/>
    <w:multiLevelType w:val="multilevel"/>
    <w:tmpl w:val="D24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B1F5D"/>
    <w:multiLevelType w:val="multilevel"/>
    <w:tmpl w:val="DDD8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A5BB8"/>
    <w:multiLevelType w:val="hybridMultilevel"/>
    <w:tmpl w:val="E84E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81611"/>
    <w:multiLevelType w:val="multilevel"/>
    <w:tmpl w:val="934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08"/>
    <w:rsid w:val="000123FE"/>
    <w:rsid w:val="001F664C"/>
    <w:rsid w:val="002A2E55"/>
    <w:rsid w:val="005A4C25"/>
    <w:rsid w:val="00962808"/>
    <w:rsid w:val="00A0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1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01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2018-10-10T14:18:00Z</dcterms:created>
  <dcterms:modified xsi:type="dcterms:W3CDTF">2018-10-10T15:10:00Z</dcterms:modified>
</cp:coreProperties>
</file>